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10873"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三亚崖州湾科技城医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院</w:t>
      </w:r>
      <w:r>
        <w:rPr>
          <w:rFonts w:hint="default" w:ascii="Times New Roman" w:hAnsi="Times New Roman" w:eastAsia="黑体" w:cs="Times New Roman"/>
          <w:sz w:val="32"/>
          <w:szCs w:val="32"/>
        </w:rPr>
        <w:t>2026</w:t>
      </w:r>
      <w:r>
        <w:rPr>
          <w:rFonts w:hint="eastAsia" w:ascii="黑体" w:hAnsi="黑体" w:eastAsia="黑体"/>
          <w:sz w:val="32"/>
          <w:szCs w:val="32"/>
        </w:rPr>
        <w:t>年专线接入服务（备用线路）项目</w:t>
      </w:r>
      <w:r>
        <w:rPr>
          <w:rFonts w:hint="eastAsia" w:ascii="黑体" w:hAnsi="黑体"/>
          <w:sz w:val="32"/>
          <w:szCs w:val="32"/>
          <w:lang w:val="en-US" w:eastAsia="zh-CN"/>
        </w:rPr>
        <w:t>报价</w:t>
      </w:r>
      <w:r>
        <w:rPr>
          <w:rFonts w:hint="eastAsia"/>
          <w:lang w:val="en-US" w:eastAsia="zh-CN"/>
        </w:rPr>
        <w:t>表</w:t>
      </w:r>
    </w:p>
    <w:tbl>
      <w:tblPr>
        <w:tblStyle w:val="7"/>
        <w:tblpPr w:leftFromText="180" w:rightFromText="180" w:vertAnchor="text" w:tblpY="1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150"/>
        <w:gridCol w:w="1137"/>
        <w:gridCol w:w="3280"/>
        <w:gridCol w:w="878"/>
        <w:gridCol w:w="516"/>
        <w:gridCol w:w="1060"/>
      </w:tblGrid>
      <w:tr w14:paraId="24BF4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Header/>
        </w:trPr>
        <w:tc>
          <w:tcPr>
            <w:tcW w:w="498" w:type="dxa"/>
            <w:shd w:val="clear" w:color="000000" w:fill="D9D9D9"/>
            <w:vAlign w:val="center"/>
          </w:tcPr>
          <w:p w14:paraId="3FBEE571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2"/>
              </w:rPr>
              <w:t>序号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14:paraId="3408F7CC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2"/>
                <w:lang w:val="en-US" w:eastAsia="zh-CN"/>
              </w:rPr>
              <w:t>服务名称</w:t>
            </w:r>
          </w:p>
        </w:tc>
        <w:tc>
          <w:tcPr>
            <w:tcW w:w="1137" w:type="dxa"/>
            <w:shd w:val="clear" w:color="000000" w:fill="D9D9D9"/>
            <w:vAlign w:val="center"/>
          </w:tcPr>
          <w:p w14:paraId="1974E5F6">
            <w:pPr>
              <w:jc w:val="center"/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2"/>
                <w:lang w:val="en-US" w:eastAsia="zh-CN"/>
              </w:rPr>
              <w:t>名称</w:t>
            </w:r>
          </w:p>
        </w:tc>
        <w:tc>
          <w:tcPr>
            <w:tcW w:w="3280" w:type="dxa"/>
            <w:shd w:val="clear" w:color="000000" w:fill="D9D9D9"/>
            <w:vAlign w:val="center"/>
          </w:tcPr>
          <w:p w14:paraId="34A6D3E7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2"/>
              </w:rPr>
              <w:t>服务内容</w:t>
            </w:r>
          </w:p>
        </w:tc>
        <w:tc>
          <w:tcPr>
            <w:tcW w:w="878" w:type="dxa"/>
            <w:shd w:val="clear" w:color="000000" w:fill="D9D9D9"/>
            <w:vAlign w:val="center"/>
          </w:tcPr>
          <w:p w14:paraId="7F1C0DF8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2"/>
              </w:rPr>
              <w:t>服务成果</w:t>
            </w:r>
          </w:p>
        </w:tc>
        <w:tc>
          <w:tcPr>
            <w:tcW w:w="516" w:type="dxa"/>
            <w:shd w:val="clear" w:color="000000" w:fill="D9D9D9"/>
            <w:vAlign w:val="center"/>
          </w:tcPr>
          <w:p w14:paraId="7250E71D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2"/>
              </w:rPr>
              <w:t>服务频率</w:t>
            </w:r>
          </w:p>
        </w:tc>
        <w:tc>
          <w:tcPr>
            <w:tcW w:w="1060" w:type="dxa"/>
            <w:shd w:val="clear" w:color="000000" w:fill="D9D9D9"/>
          </w:tcPr>
          <w:p w14:paraId="589B07F5">
            <w:pPr>
              <w:jc w:val="center"/>
              <w:rPr>
                <w:rFonts w:hint="eastAsia" w:ascii="宋体" w:hAnsi="宋体" w:eastAsia="宋体"/>
                <w:b/>
                <w:bCs/>
                <w:color w:val="000000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2"/>
              </w:rPr>
              <w:t>价格（元）</w:t>
            </w:r>
          </w:p>
        </w:tc>
      </w:tr>
      <w:tr w14:paraId="3566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98" w:type="dxa"/>
            <w:vMerge w:val="restart"/>
            <w:vAlign w:val="center"/>
          </w:tcPr>
          <w:p w14:paraId="54DAFB3D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2"/>
              </w:rPr>
              <w:t>1</w:t>
            </w:r>
          </w:p>
        </w:tc>
        <w:tc>
          <w:tcPr>
            <w:tcW w:w="1150" w:type="dxa"/>
            <w:vMerge w:val="restart"/>
            <w:vAlign w:val="center"/>
          </w:tcPr>
          <w:p w14:paraId="3AA5CD04">
            <w:pPr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lang w:val="en-US" w:eastAsia="zh-CN"/>
              </w:rPr>
              <w:t>医保专线（备用线路）</w:t>
            </w:r>
          </w:p>
        </w:tc>
        <w:tc>
          <w:tcPr>
            <w:tcW w:w="1137" w:type="dxa"/>
            <w:vAlign w:val="center"/>
          </w:tcPr>
          <w:p w14:paraId="2FBCBA14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线路配置</w:t>
            </w:r>
          </w:p>
        </w:tc>
        <w:tc>
          <w:tcPr>
            <w:tcW w:w="3280" w:type="dxa"/>
            <w:vAlign w:val="center"/>
          </w:tcPr>
          <w:p w14:paraId="0119BC40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提供独立光纤接入专用线路。</w:t>
            </w:r>
          </w:p>
          <w:p w14:paraId="1DE8ED55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</w:rPr>
              <w:t>提供接入物理线路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条，医保专线。</w:t>
            </w:r>
          </w:p>
          <w:p w14:paraId="763B65DB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</w:rPr>
              <w:t>线路上行、下行带宽速率一致，具备可扩充性，医保专线线路的上行速率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≥20Mbps</w:t>
            </w:r>
            <w:r>
              <w:rPr>
                <w:rFonts w:hint="eastAsia" w:ascii="仿宋" w:hAnsi="仿宋" w:eastAsia="仿宋" w:cs="仿宋"/>
                <w:sz w:val="24"/>
              </w:rPr>
              <w:t>、线路的下行速率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≥20Mbps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</w:tc>
        <w:tc>
          <w:tcPr>
            <w:tcW w:w="878" w:type="dxa"/>
            <w:vAlign w:val="center"/>
          </w:tcPr>
          <w:p w14:paraId="5FBF8588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lang w:val="en-US" w:eastAsia="zh-CN"/>
              </w:rPr>
              <w:t>物理线路、分配医保IP</w:t>
            </w:r>
          </w:p>
        </w:tc>
        <w:tc>
          <w:tcPr>
            <w:tcW w:w="516" w:type="dxa"/>
            <w:vMerge w:val="restart"/>
            <w:vAlign w:val="center"/>
          </w:tcPr>
          <w:p w14:paraId="47D81296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2"/>
              </w:rPr>
              <w:t>1</w:t>
            </w:r>
            <w:r>
              <w:rPr>
                <w:rFonts w:hint="eastAsia" w:ascii="宋体" w:hAnsi="宋体"/>
                <w:color w:val="000000"/>
                <w:szCs w:val="22"/>
                <w:lang w:val="en-US" w:eastAsia="zh-CN"/>
              </w:rPr>
              <w:t>年</w:t>
            </w:r>
          </w:p>
        </w:tc>
        <w:tc>
          <w:tcPr>
            <w:tcW w:w="1060" w:type="dxa"/>
            <w:vMerge w:val="restart"/>
          </w:tcPr>
          <w:p w14:paraId="1AE72BCD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</w:tr>
      <w:tr w14:paraId="70BB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98" w:type="dxa"/>
            <w:vMerge w:val="continue"/>
            <w:vAlign w:val="center"/>
          </w:tcPr>
          <w:p w14:paraId="37D3B8E9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50" w:type="dxa"/>
            <w:vMerge w:val="continue"/>
            <w:vAlign w:val="center"/>
          </w:tcPr>
          <w:p w14:paraId="7EADAAAC">
            <w:pPr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37" w:type="dxa"/>
            <w:vAlign w:val="center"/>
          </w:tcPr>
          <w:p w14:paraId="5069A58D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线路质量</w:t>
            </w:r>
          </w:p>
        </w:tc>
        <w:tc>
          <w:tcPr>
            <w:tcW w:w="3280" w:type="dxa"/>
            <w:vAlign w:val="center"/>
          </w:tcPr>
          <w:p w14:paraId="2C1E25B4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线路通路可用率平均达到99.8%。</w:t>
            </w:r>
          </w:p>
          <w:p w14:paraId="5FD63DF9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</w:rPr>
              <w:t>线路光衰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≤-15db</w:t>
            </w:r>
            <w:r>
              <w:rPr>
                <w:rFonts w:hint="eastAsia" w:ascii="仿宋" w:hAnsi="仿宋" w:eastAsia="仿宋" w:cs="仿宋"/>
                <w:sz w:val="24"/>
              </w:rPr>
              <w:t>；</w:t>
            </w:r>
          </w:p>
          <w:p w14:paraId="3A61A93A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</w:rPr>
              <w:t>接收光功率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≤-20db</w:t>
            </w:r>
            <w:r>
              <w:rPr>
                <w:rFonts w:hint="eastAsia" w:ascii="仿宋" w:hAnsi="仿宋" w:eastAsia="仿宋" w:cs="仿宋"/>
                <w:sz w:val="24"/>
              </w:rPr>
              <w:t>；</w:t>
            </w:r>
          </w:p>
          <w:p w14:paraId="4617E6ED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4"/>
              </w:rPr>
              <w:t>网络时延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≤6ms</w:t>
            </w:r>
            <w:r>
              <w:rPr>
                <w:rFonts w:hint="eastAsia" w:ascii="仿宋" w:hAnsi="仿宋" w:eastAsia="仿宋" w:cs="仿宋"/>
                <w:sz w:val="24"/>
              </w:rPr>
              <w:t>内；</w:t>
            </w:r>
          </w:p>
          <w:p w14:paraId="3D140301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平均丢包率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≤0.03%</w:t>
            </w:r>
            <w:r>
              <w:rPr>
                <w:rFonts w:hint="eastAsia" w:ascii="宋体" w:hAnsi="宋体" w:eastAsia="宋体"/>
                <w:color w:val="000000"/>
                <w:szCs w:val="22"/>
              </w:rPr>
              <w:t>。</w:t>
            </w:r>
          </w:p>
        </w:tc>
        <w:tc>
          <w:tcPr>
            <w:tcW w:w="878" w:type="dxa"/>
            <w:vAlign w:val="center"/>
          </w:tcPr>
          <w:p w14:paraId="43C4128F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516" w:type="dxa"/>
            <w:vMerge w:val="continue"/>
            <w:tcBorders/>
            <w:vAlign w:val="center"/>
          </w:tcPr>
          <w:p w14:paraId="5408CD5E">
            <w:pPr>
              <w:jc w:val="center"/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</w:tc>
        <w:tc>
          <w:tcPr>
            <w:tcW w:w="1060" w:type="dxa"/>
            <w:vMerge w:val="continue"/>
          </w:tcPr>
          <w:p w14:paraId="4D0FE751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</w:tr>
      <w:tr w14:paraId="5398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98" w:type="dxa"/>
            <w:vMerge w:val="continue"/>
            <w:vAlign w:val="center"/>
          </w:tcPr>
          <w:p w14:paraId="611EFEED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50" w:type="dxa"/>
            <w:vMerge w:val="continue"/>
            <w:vAlign w:val="center"/>
          </w:tcPr>
          <w:p w14:paraId="332F414F">
            <w:pPr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37" w:type="dxa"/>
            <w:vAlign w:val="center"/>
          </w:tcPr>
          <w:p w14:paraId="7D26A8BB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售后服务</w:t>
            </w:r>
          </w:p>
        </w:tc>
        <w:tc>
          <w:tcPr>
            <w:tcW w:w="3280" w:type="dxa"/>
            <w:vAlign w:val="center"/>
          </w:tcPr>
          <w:p w14:paraId="0740FEB3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供应商需要对网络链路的现有光缆、管道等设备进行日常维护及检修；</w:t>
            </w:r>
          </w:p>
          <w:p w14:paraId="4F23F795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供应商应提供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7×24</w:t>
            </w:r>
            <w:r>
              <w:rPr>
                <w:rFonts w:hint="eastAsia" w:ascii="仿宋" w:hAnsi="仿宋" w:eastAsia="仿宋" w:cs="仿宋"/>
                <w:sz w:val="24"/>
              </w:rPr>
              <w:t>小时受理甲方故障申告的服务，如线路出现故障，在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小时内回复甲方故障原因及预计修复时间，</w:t>
            </w:r>
            <w:r>
              <w:rPr>
                <w:rFonts w:hint="eastAsia" w:ascii="仿宋" w:hAnsi="仿宋" w:eastAsia="仿宋" w:cs="仿宋"/>
                <w:spacing w:val="-1"/>
                <w:sz w:val="24"/>
              </w:rPr>
              <w:t>提供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7×24</w:t>
            </w:r>
            <w:r>
              <w:rPr>
                <w:rFonts w:hint="eastAsia" w:ascii="仿宋" w:hAnsi="仿宋" w:eastAsia="仿宋" w:cs="仿宋"/>
                <w:spacing w:val="-4"/>
                <w:sz w:val="24"/>
              </w:rPr>
              <w:t>小时客户响应电话</w:t>
            </w:r>
            <w:r>
              <w:rPr>
                <w:rFonts w:hint="eastAsia" w:ascii="宋体" w:hAnsi="宋体" w:eastAsia="宋体"/>
                <w:color w:val="000000"/>
                <w:szCs w:val="22"/>
              </w:rPr>
              <w:t>。</w:t>
            </w:r>
          </w:p>
        </w:tc>
        <w:tc>
          <w:tcPr>
            <w:tcW w:w="878" w:type="dxa"/>
            <w:vAlign w:val="center"/>
          </w:tcPr>
          <w:p w14:paraId="31DDED77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lang w:val="en-US" w:eastAsia="zh-CN"/>
              </w:rPr>
              <w:t>售后服务</w:t>
            </w:r>
          </w:p>
        </w:tc>
        <w:tc>
          <w:tcPr>
            <w:tcW w:w="516" w:type="dxa"/>
            <w:vMerge w:val="continue"/>
            <w:tcBorders/>
            <w:vAlign w:val="center"/>
          </w:tcPr>
          <w:p w14:paraId="29EBBC02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</w:p>
        </w:tc>
        <w:tc>
          <w:tcPr>
            <w:tcW w:w="1060" w:type="dxa"/>
            <w:vMerge w:val="continue"/>
          </w:tcPr>
          <w:p w14:paraId="41D71DD5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</w:tr>
      <w:tr w14:paraId="6CCED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98" w:type="dxa"/>
            <w:vMerge w:val="restart"/>
            <w:vAlign w:val="center"/>
          </w:tcPr>
          <w:p w14:paraId="31AF2FDC">
            <w:pPr>
              <w:jc w:val="center"/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2"/>
                <w:lang w:val="en-US" w:eastAsia="zh-CN"/>
              </w:rPr>
              <w:t>2</w:t>
            </w:r>
          </w:p>
        </w:tc>
        <w:tc>
          <w:tcPr>
            <w:tcW w:w="1150" w:type="dxa"/>
            <w:vMerge w:val="restart"/>
            <w:vAlign w:val="center"/>
          </w:tcPr>
          <w:p w14:paraId="0D88C876">
            <w:pPr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lang w:val="en-US" w:eastAsia="zh-CN"/>
              </w:rPr>
              <w:t>互联网专线（备用线路）</w:t>
            </w:r>
          </w:p>
        </w:tc>
        <w:tc>
          <w:tcPr>
            <w:tcW w:w="1137" w:type="dxa"/>
            <w:vAlign w:val="center"/>
          </w:tcPr>
          <w:p w14:paraId="241F9A04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线路配置</w:t>
            </w:r>
          </w:p>
        </w:tc>
        <w:tc>
          <w:tcPr>
            <w:tcW w:w="3280" w:type="dxa"/>
            <w:vAlign w:val="center"/>
          </w:tcPr>
          <w:p w14:paraId="13430F8D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提供独立光纤接入专用线路。</w:t>
            </w:r>
          </w:p>
          <w:p w14:paraId="1D6703D3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</w:rPr>
              <w:t>提供接入物理线路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条，互联网专线。</w:t>
            </w:r>
          </w:p>
          <w:p w14:paraId="67BCF504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</w:rPr>
              <w:t>线路上行、下行带宽速率一致，具备可扩充性，互联网专线接入方式为光纤接入线路的上行速率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≥200Mbps</w:t>
            </w:r>
            <w:r>
              <w:rPr>
                <w:rFonts w:hint="eastAsia" w:ascii="仿宋" w:hAnsi="仿宋" w:eastAsia="仿宋" w:cs="仿宋"/>
                <w:sz w:val="24"/>
              </w:rPr>
              <w:t>、线路的下行速率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200Mbps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  <w:p w14:paraId="7568ED5F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互联网专线提供公网IP地址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≥2</w:t>
            </w:r>
            <w:r>
              <w:rPr>
                <w:rFonts w:hint="eastAsia" w:ascii="仿宋" w:hAnsi="仿宋" w:eastAsia="仿宋" w:cs="仿宋"/>
                <w:sz w:val="24"/>
              </w:rPr>
              <w:t>个</w:t>
            </w:r>
            <w:r>
              <w:rPr>
                <w:rFonts w:hint="eastAsia" w:ascii="宋体" w:hAnsi="宋体" w:eastAsia="宋体"/>
                <w:szCs w:val="22"/>
              </w:rPr>
              <w:t>。</w:t>
            </w:r>
          </w:p>
        </w:tc>
        <w:tc>
          <w:tcPr>
            <w:tcW w:w="878" w:type="dxa"/>
            <w:vAlign w:val="center"/>
          </w:tcPr>
          <w:p w14:paraId="2FC7B049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lang w:val="en-US" w:eastAsia="zh-CN"/>
              </w:rPr>
              <w:t>物理线路、公网</w:t>
            </w:r>
            <w:r>
              <w:rPr>
                <w:rFonts w:hint="default" w:ascii="Times New Roman" w:hAnsi="Times New Roman" w:cs="Times New Roman"/>
                <w:szCs w:val="22"/>
                <w:lang w:val="en-US" w:eastAsia="zh-CN"/>
              </w:rPr>
              <w:t>IP</w:t>
            </w:r>
          </w:p>
        </w:tc>
        <w:tc>
          <w:tcPr>
            <w:tcW w:w="516" w:type="dxa"/>
            <w:vMerge w:val="restart"/>
            <w:vAlign w:val="center"/>
          </w:tcPr>
          <w:p w14:paraId="6EFBB6B2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Cs w:val="22"/>
                <w:lang w:val="en-US" w:eastAsia="zh-CN"/>
              </w:rPr>
              <w:t>年</w:t>
            </w:r>
          </w:p>
        </w:tc>
        <w:tc>
          <w:tcPr>
            <w:tcW w:w="1060" w:type="dxa"/>
            <w:vMerge w:val="restart"/>
          </w:tcPr>
          <w:p w14:paraId="1C3DDCBA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</w:tr>
      <w:tr w14:paraId="06DD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98" w:type="dxa"/>
            <w:vMerge w:val="continue"/>
            <w:vAlign w:val="center"/>
          </w:tcPr>
          <w:p w14:paraId="697CE101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50" w:type="dxa"/>
            <w:vMerge w:val="continue"/>
            <w:vAlign w:val="center"/>
          </w:tcPr>
          <w:p w14:paraId="36EFAE67">
            <w:pPr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37" w:type="dxa"/>
            <w:vAlign w:val="center"/>
          </w:tcPr>
          <w:p w14:paraId="73FD794A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线路质量</w:t>
            </w:r>
          </w:p>
        </w:tc>
        <w:tc>
          <w:tcPr>
            <w:tcW w:w="3280" w:type="dxa"/>
            <w:vAlign w:val="center"/>
          </w:tcPr>
          <w:p w14:paraId="5DD278C0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线路通路可用率平均达到99.8%。</w:t>
            </w:r>
          </w:p>
          <w:p w14:paraId="70AA4FE4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</w:rPr>
              <w:t>线路光衰≤-15db；</w:t>
            </w:r>
          </w:p>
          <w:p w14:paraId="742C192B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</w:rPr>
              <w:t>接收光功率≤-20db；</w:t>
            </w:r>
          </w:p>
          <w:p w14:paraId="672BE6C6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4"/>
              </w:rPr>
              <w:t>网络时延≤6ms内；</w:t>
            </w:r>
          </w:p>
          <w:p w14:paraId="4C5403CC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平均丢包率≤0.03%</w:t>
            </w:r>
            <w:r>
              <w:rPr>
                <w:rFonts w:hint="eastAsia" w:ascii="宋体" w:hAnsi="宋体" w:eastAsia="宋体"/>
                <w:color w:val="000000"/>
                <w:szCs w:val="22"/>
              </w:rPr>
              <w:t>。</w:t>
            </w:r>
          </w:p>
        </w:tc>
        <w:tc>
          <w:tcPr>
            <w:tcW w:w="878" w:type="dxa"/>
            <w:vAlign w:val="center"/>
          </w:tcPr>
          <w:p w14:paraId="54CDC2C7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516" w:type="dxa"/>
            <w:vMerge w:val="continue"/>
            <w:tcBorders/>
            <w:vAlign w:val="center"/>
          </w:tcPr>
          <w:p w14:paraId="691CE640">
            <w:pPr>
              <w:jc w:val="center"/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</w:tc>
        <w:tc>
          <w:tcPr>
            <w:tcW w:w="1060" w:type="dxa"/>
            <w:vMerge w:val="continue"/>
          </w:tcPr>
          <w:p w14:paraId="35850BCE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</w:tr>
      <w:tr w14:paraId="6AAF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98" w:type="dxa"/>
            <w:vMerge w:val="continue"/>
            <w:vAlign w:val="center"/>
          </w:tcPr>
          <w:p w14:paraId="5A062BF3">
            <w:pPr>
              <w:jc w:val="center"/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50" w:type="dxa"/>
            <w:vMerge w:val="continue"/>
            <w:vAlign w:val="center"/>
          </w:tcPr>
          <w:p w14:paraId="690C7EB4">
            <w:pPr>
              <w:rPr>
                <w:rFonts w:hint="eastAsia" w:ascii="宋体" w:hAnsi="宋体" w:eastAsia="宋体" w:cs="宋体"/>
                <w:szCs w:val="22"/>
              </w:rPr>
            </w:pPr>
          </w:p>
        </w:tc>
        <w:tc>
          <w:tcPr>
            <w:tcW w:w="1137" w:type="dxa"/>
            <w:vAlign w:val="center"/>
          </w:tcPr>
          <w:p w14:paraId="7A416965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售后服务</w:t>
            </w:r>
          </w:p>
        </w:tc>
        <w:tc>
          <w:tcPr>
            <w:tcW w:w="3280" w:type="dxa"/>
            <w:vAlign w:val="center"/>
          </w:tcPr>
          <w:p w14:paraId="057679C2">
            <w:pPr>
              <w:numPr>
                <w:numId w:val="0"/>
              </w:numPr>
              <w:adjustRightInd w:val="0"/>
              <w:snapToGrid w:val="0"/>
              <w:spacing w:before="31" w:beforeLines="10" w:after="31" w:afterLines="1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供应商需要对网络链路的现有光缆、管道等设备进行日常维护及检修；</w:t>
            </w:r>
          </w:p>
          <w:p w14:paraId="146A4047">
            <w:pPr>
              <w:rPr>
                <w:rFonts w:hint="eastAsia" w:ascii="宋体" w:hAnsi="宋体" w:eastAsia="宋体" w:cs="宋体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供应商应提供</w:t>
            </w:r>
            <w:r>
              <w:rPr>
                <w:rFonts w:hint="default" w:ascii="Times New Roman" w:hAnsi="Times New Roman" w:eastAsia="仿宋" w:cs="Times New Roman"/>
                <w:spacing w:val="-1"/>
                <w:sz w:val="24"/>
              </w:rPr>
              <w:t>7×</w:t>
            </w:r>
            <w:r>
              <w:rPr>
                <w:rFonts w:hint="default" w:ascii="Times New Roman" w:hAnsi="Times New Roman" w:eastAsia="仿宋" w:cs="Times New Roman"/>
                <w:spacing w:val="-4"/>
                <w:sz w:val="24"/>
              </w:rPr>
              <w:t>24</w:t>
            </w:r>
            <w:r>
              <w:rPr>
                <w:rFonts w:hint="eastAsia" w:ascii="仿宋" w:hAnsi="仿宋" w:eastAsia="仿宋" w:cs="仿宋"/>
                <w:sz w:val="24"/>
              </w:rPr>
              <w:t>小时受理甲方故障申告的服务，如线路出现故障，在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小时内回复甲方故障原因及预计修复时间，</w:t>
            </w:r>
            <w:r>
              <w:rPr>
                <w:rFonts w:hint="eastAsia" w:ascii="仿宋" w:hAnsi="仿宋" w:eastAsia="仿宋" w:cs="仿宋"/>
                <w:spacing w:val="-1"/>
                <w:sz w:val="24"/>
              </w:rPr>
              <w:t>提供</w:t>
            </w:r>
            <w:r>
              <w:rPr>
                <w:rFonts w:hint="eastAsia" w:ascii="Times New Roman" w:hAnsi="Times New Roman" w:eastAsia="仿宋" w:cs="Times New Roman"/>
                <w:spacing w:val="-1"/>
                <w:sz w:val="24"/>
              </w:rPr>
              <w:t>7×24</w:t>
            </w:r>
            <w:r>
              <w:rPr>
                <w:rFonts w:hint="eastAsia" w:ascii="仿宋" w:hAnsi="仿宋" w:eastAsia="仿宋" w:cs="仿宋"/>
                <w:spacing w:val="-4"/>
                <w:sz w:val="24"/>
              </w:rPr>
              <w:t>小时客户响应电话</w:t>
            </w:r>
            <w:r>
              <w:rPr>
                <w:rFonts w:hint="eastAsia" w:ascii="宋体" w:hAnsi="宋体" w:eastAsia="宋体"/>
                <w:color w:val="000000"/>
                <w:szCs w:val="22"/>
              </w:rPr>
              <w:t>。</w:t>
            </w:r>
          </w:p>
        </w:tc>
        <w:tc>
          <w:tcPr>
            <w:tcW w:w="878" w:type="dxa"/>
            <w:vAlign w:val="center"/>
          </w:tcPr>
          <w:p w14:paraId="2FA2CFAC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lang w:val="en-US" w:eastAsia="zh-CN"/>
              </w:rPr>
              <w:t>售后服务</w:t>
            </w:r>
          </w:p>
        </w:tc>
        <w:tc>
          <w:tcPr>
            <w:tcW w:w="516" w:type="dxa"/>
            <w:vMerge w:val="continue"/>
            <w:tcBorders/>
            <w:vAlign w:val="center"/>
          </w:tcPr>
          <w:p w14:paraId="2C863177">
            <w:pPr>
              <w:jc w:val="center"/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</w:p>
        </w:tc>
        <w:tc>
          <w:tcPr>
            <w:tcW w:w="1060" w:type="dxa"/>
            <w:vMerge w:val="continue"/>
          </w:tcPr>
          <w:p w14:paraId="45E5D24B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</w:tr>
      <w:tr w14:paraId="320F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98" w:type="dxa"/>
            <w:vAlign w:val="center"/>
          </w:tcPr>
          <w:p w14:paraId="1891180E">
            <w:pPr>
              <w:jc w:val="center"/>
              <w:rPr>
                <w:rFonts w:hint="default" w:ascii="宋体" w:hAnsi="宋体" w:eastAsia="宋体"/>
                <w:color w:val="00000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2"/>
                <w:lang w:val="en-US" w:eastAsia="zh-CN"/>
              </w:rPr>
              <w:t>3</w:t>
            </w:r>
          </w:p>
        </w:tc>
        <w:tc>
          <w:tcPr>
            <w:tcW w:w="1150" w:type="dxa"/>
            <w:vAlign w:val="center"/>
          </w:tcPr>
          <w:p w14:paraId="48F76239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</w:p>
        </w:tc>
        <w:tc>
          <w:tcPr>
            <w:tcW w:w="6871" w:type="dxa"/>
            <w:gridSpan w:val="5"/>
            <w:vAlign w:val="center"/>
          </w:tcPr>
          <w:p w14:paraId="33F0A5A7">
            <w:pPr>
              <w:jc w:val="center"/>
              <w:rPr>
                <w:rFonts w:hint="eastAsia" w:ascii="宋体" w:hAnsi="宋体" w:eastAsia="宋体"/>
                <w:color w:val="000000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Cs w:val="22"/>
              </w:rPr>
              <w:t>合计：</w:t>
            </w:r>
          </w:p>
        </w:tc>
      </w:tr>
    </w:tbl>
    <w:p w14:paraId="3FA73D81">
      <w:pPr>
        <w:rPr>
          <w:rFonts w:hint="eastAsia" w:ascii="宋体" w:hAnsi="宋体" w:eastAsia="宋体"/>
          <w:szCs w:val="22"/>
        </w:rPr>
      </w:pPr>
    </w:p>
    <w:p w14:paraId="12F8D46E">
      <w:pPr>
        <w:tabs>
          <w:tab w:val="left" w:pos="5600"/>
        </w:tabs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ab/>
      </w:r>
    </w:p>
    <w:p w14:paraId="6F1EB11D">
      <w:pPr>
        <w:tabs>
          <w:tab w:val="left" w:pos="5600"/>
        </w:tabs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>报价单位：</w:t>
      </w:r>
    </w:p>
    <w:p w14:paraId="4F2B1AD1">
      <w:pPr>
        <w:tabs>
          <w:tab w:val="left" w:pos="5600"/>
        </w:tabs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>联系人：</w:t>
      </w:r>
    </w:p>
    <w:p w14:paraId="7B77A25B">
      <w:pPr>
        <w:tabs>
          <w:tab w:val="left" w:pos="5600"/>
        </w:tabs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>电话：</w:t>
      </w:r>
    </w:p>
    <w:p w14:paraId="444C6A33">
      <w:pPr>
        <w:tabs>
          <w:tab w:val="left" w:pos="5600"/>
        </w:tabs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>报价日期：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3868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83C38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83C38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21C19"/>
    <w:rsid w:val="04C95492"/>
    <w:rsid w:val="05353DA0"/>
    <w:rsid w:val="06001E43"/>
    <w:rsid w:val="131E5347"/>
    <w:rsid w:val="1B6D7998"/>
    <w:rsid w:val="1FB738D7"/>
    <w:rsid w:val="1FBF0EBD"/>
    <w:rsid w:val="256B13EC"/>
    <w:rsid w:val="270F3FF9"/>
    <w:rsid w:val="27B01338"/>
    <w:rsid w:val="280B656E"/>
    <w:rsid w:val="2BDD5AB8"/>
    <w:rsid w:val="2F642A08"/>
    <w:rsid w:val="3748158D"/>
    <w:rsid w:val="38740160"/>
    <w:rsid w:val="3DAF4485"/>
    <w:rsid w:val="3F4343E8"/>
    <w:rsid w:val="41412BA9"/>
    <w:rsid w:val="4CFB6302"/>
    <w:rsid w:val="4FC305E9"/>
    <w:rsid w:val="58F2253F"/>
    <w:rsid w:val="5980650D"/>
    <w:rsid w:val="598B2597"/>
    <w:rsid w:val="5C4A4BB0"/>
    <w:rsid w:val="5D137698"/>
    <w:rsid w:val="63970658"/>
    <w:rsid w:val="6BD66460"/>
    <w:rsid w:val="72587BCF"/>
    <w:rsid w:val="75C5557C"/>
    <w:rsid w:val="775E5C88"/>
    <w:rsid w:val="7D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80" w:after="280" w:line="560" w:lineRule="atLeast"/>
      <w:contextualSpacing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638</Words>
  <Characters>711</Characters>
  <Lines>0</Lines>
  <Paragraphs>0</Paragraphs>
  <TotalTime>3</TotalTime>
  <ScaleCrop>false</ScaleCrop>
  <LinksUpToDate>false</LinksUpToDate>
  <CharactersWithSpaces>716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2026-05-18T04:00:00Z</dcterms:created>
  <dc:creator>JIJUN</dc:creator>
  <cp:lastModifiedBy>友人君L</cp:lastModifiedBy>
  <dcterms:modified xsi:type="dcterms:W3CDTF">2026-07-20T09:24:29Z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eyJoZGlkIjoiNGY2ODMwY2M0ZjIxMDVkMjJiNDUxY2RmOTgyMDYxNzIiLCJ1c2VySWQiOiI1MjU0NjE5NzIifQ==</vt:lpwstr>
  </property>
  <property fmtid="{D5CDD505-2E9C-101B-9397-08002B2CF9AE}" pid="4" name="ICV">
    <vt:lpwstr>2EB600B097684158ACAC3185B517A156_12</vt:lpwstr>
  </property>
</Properties>
</file>