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5C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auto"/>
        <w:jc w:val="center"/>
        <w:textAlignment w:val="auto"/>
        <w:rPr>
          <w:rFonts w:hint="eastAsia" w:ascii="仿宋" w:hAnsi="仿宋" w:eastAsia="仿宋" w:cs="仿宋"/>
          <w:b/>
          <w:bCs w:val="0"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b/>
          <w:bCs w:val="0"/>
          <w:sz w:val="44"/>
          <w:szCs w:val="44"/>
          <w:lang w:val="en-US" w:eastAsia="zh-CN"/>
        </w:rPr>
        <w:t>服务内容及要求</w:t>
      </w:r>
    </w:p>
    <w:p w14:paraId="55C5A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3" w:firstLineChars="200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</w:p>
    <w:p w14:paraId="1AC36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3" w:firstLineChars="200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一、医保专线接入服务（备用线路）</w:t>
      </w:r>
    </w:p>
    <w:p w14:paraId="2F4D1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1.线路配置</w:t>
      </w:r>
      <w:r>
        <w:rPr>
          <w:rFonts w:hint="eastAsia" w:eastAsia="仿宋" w:cs="Times New Roman"/>
          <w:sz w:val="32"/>
          <w:szCs w:val="32"/>
          <w:lang w:val="en-US" w:eastAsia="zh-CN"/>
        </w:rPr>
        <w:t>：</w:t>
      </w:r>
      <w:bookmarkStart w:id="0" w:name="_GoBack"/>
      <w:bookmarkEnd w:id="0"/>
    </w:p>
    <w:p w14:paraId="31BF5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（1）</w:t>
      </w:r>
      <w:r>
        <w:rPr>
          <w:rFonts w:hint="eastAsia" w:eastAsia="仿宋" w:cs="Times New Roman"/>
          <w:sz w:val="32"/>
          <w:szCs w:val="32"/>
          <w:lang w:val="en-US" w:eastAsia="zh-CN"/>
        </w:rPr>
        <w:t>提供独立光纤接入专用线路。</w:t>
      </w:r>
    </w:p>
    <w:p w14:paraId="2522A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（2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）</w:t>
      </w:r>
      <w:r>
        <w:rPr>
          <w:rFonts w:hint="eastAsia" w:eastAsia="仿宋" w:cs="Times New Roman"/>
          <w:sz w:val="32"/>
          <w:szCs w:val="32"/>
          <w:lang w:val="en-US" w:eastAsia="zh-CN"/>
        </w:rPr>
        <w:t>提供接入物理线路1条，医保专线。</w:t>
      </w:r>
    </w:p>
    <w:p w14:paraId="5041A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（3）</w:t>
      </w:r>
      <w:r>
        <w:rPr>
          <w:rFonts w:hint="eastAsia" w:eastAsia="仿宋" w:cs="Times New Roman"/>
          <w:sz w:val="32"/>
          <w:szCs w:val="32"/>
          <w:lang w:val="en-US" w:eastAsia="zh-CN"/>
        </w:rPr>
        <w:t>线路上行、下行带宽速率一致，具备可扩充性，医保专线线路的上行速率≥20Mbps、线路的下行速率≥20Mbps。</w:t>
      </w:r>
    </w:p>
    <w:p w14:paraId="78024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2.</w:t>
      </w:r>
      <w:r>
        <w:rPr>
          <w:rFonts w:hint="eastAsia" w:eastAsia="仿宋" w:cs="Times New Roman"/>
          <w:sz w:val="32"/>
          <w:szCs w:val="32"/>
          <w:lang w:val="en-US" w:eastAsia="zh-CN"/>
        </w:rPr>
        <w:t>线路质量：</w:t>
      </w:r>
    </w:p>
    <w:p w14:paraId="0CFA66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（1）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线路通路可用率平均达到</w:t>
      </w:r>
      <w:r>
        <w:rPr>
          <w:rFonts w:hint="eastAsia" w:eastAsia="仿宋" w:cs="Times New Roman"/>
          <w:sz w:val="32"/>
          <w:szCs w:val="32"/>
          <w:lang w:val="en-US" w:eastAsia="zh-CN"/>
        </w:rPr>
        <w:t>99.8%；</w:t>
      </w:r>
    </w:p>
    <w:p w14:paraId="35BA8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（2）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线路光衰≤</w:t>
      </w:r>
      <w:r>
        <w:rPr>
          <w:rFonts w:hint="eastAsia" w:eastAsia="仿宋" w:cs="Times New Roman"/>
          <w:sz w:val="32"/>
          <w:szCs w:val="32"/>
          <w:lang w:val="en-US" w:eastAsia="zh-CN"/>
        </w:rPr>
        <w:t>-15db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1A3C9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（3）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接收光功率≤</w:t>
      </w:r>
      <w:r>
        <w:rPr>
          <w:rFonts w:hint="eastAsia" w:eastAsia="仿宋" w:cs="Times New Roman"/>
          <w:sz w:val="32"/>
          <w:szCs w:val="32"/>
          <w:lang w:val="en-US" w:eastAsia="zh-CN"/>
        </w:rPr>
        <w:t>-20db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68E0F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（4）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网络时延</w:t>
      </w:r>
      <w:r>
        <w:rPr>
          <w:rFonts w:hint="eastAsia" w:eastAsia="仿宋" w:cs="Times New Roman"/>
          <w:sz w:val="32"/>
          <w:szCs w:val="32"/>
          <w:lang w:val="en-US" w:eastAsia="zh-CN"/>
        </w:rPr>
        <w:t>≤6ms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内；</w:t>
      </w:r>
    </w:p>
    <w:p w14:paraId="1176F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（5）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平均丢包率≤</w:t>
      </w:r>
      <w:r>
        <w:rPr>
          <w:rFonts w:hint="eastAsia" w:eastAsia="仿宋" w:cs="Times New Roman"/>
          <w:sz w:val="32"/>
          <w:szCs w:val="32"/>
          <w:lang w:val="en-US" w:eastAsia="zh-CN"/>
        </w:rPr>
        <w:t>0.03%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31B22A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3.</w:t>
      </w:r>
      <w:r>
        <w:rPr>
          <w:rFonts w:hint="eastAsia" w:eastAsia="仿宋" w:cs="Times New Roman"/>
          <w:sz w:val="32"/>
          <w:szCs w:val="32"/>
          <w:lang w:val="en-US" w:eastAsia="zh-CN"/>
        </w:rPr>
        <w:t>售后服务：</w:t>
      </w:r>
    </w:p>
    <w:p w14:paraId="26332B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（1）</w:t>
      </w:r>
      <w:r>
        <w:rPr>
          <w:rFonts w:hint="eastAsia" w:ascii="仿宋" w:hAnsi="仿宋" w:eastAsia="仿宋" w:cs="仿宋"/>
          <w:sz w:val="32"/>
          <w:szCs w:val="32"/>
        </w:rPr>
        <w:t>供应商需要对网络链路的现有光缆、管道等设备进行日常维护及检修；</w:t>
      </w:r>
    </w:p>
    <w:p w14:paraId="0D9C3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（2）</w:t>
      </w:r>
      <w:r>
        <w:rPr>
          <w:rFonts w:hint="eastAsia" w:ascii="仿宋" w:hAnsi="仿宋" w:eastAsia="仿宋" w:cs="仿宋"/>
          <w:sz w:val="32"/>
          <w:szCs w:val="32"/>
        </w:rPr>
        <w:t>供应商应提供</w:t>
      </w:r>
      <w:r>
        <w:rPr>
          <w:rFonts w:hint="eastAsia" w:eastAsia="仿宋" w:cs="Times New Roman"/>
          <w:sz w:val="32"/>
          <w:szCs w:val="32"/>
          <w:lang w:val="en-US" w:eastAsia="zh-CN"/>
        </w:rPr>
        <w:t>7*24</w:t>
      </w:r>
      <w:r>
        <w:rPr>
          <w:rFonts w:hint="eastAsia" w:ascii="仿宋" w:hAnsi="仿宋" w:eastAsia="仿宋" w:cs="仿宋"/>
          <w:sz w:val="32"/>
          <w:szCs w:val="32"/>
        </w:rPr>
        <w:t>小时受理甲方故障申告的服务，如线路出现故障，在</w:t>
      </w:r>
      <w:r>
        <w:rPr>
          <w:rFonts w:hint="eastAsia" w:eastAsia="仿宋" w:cs="Times New Roman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小时内回复甲方故障原因及预计修复时间，提供7×24小时客户响应电话。</w:t>
      </w:r>
    </w:p>
    <w:p w14:paraId="1D7DB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3" w:firstLineChars="200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二、互联网专线接入服务（备用线路）</w:t>
      </w:r>
    </w:p>
    <w:p w14:paraId="42D6A4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1.线路配置</w:t>
      </w:r>
      <w:r>
        <w:rPr>
          <w:rFonts w:hint="eastAsia" w:eastAsia="仿宋" w:cs="Times New Roman"/>
          <w:sz w:val="32"/>
          <w:szCs w:val="32"/>
          <w:lang w:val="en-US" w:eastAsia="zh-CN"/>
        </w:rPr>
        <w:t>：</w:t>
      </w:r>
    </w:p>
    <w:p w14:paraId="0AD06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（1）提供独立光纤接入专用线路。</w:t>
      </w:r>
    </w:p>
    <w:p w14:paraId="72F30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（2）提供接入物理线路1条，互联网专线。</w:t>
      </w:r>
    </w:p>
    <w:p w14:paraId="27EBD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（3）线路上行、下行带宽速率一致，具备可扩充性，互联网专线接入方式为光纤接入线路的上行速率≥200Mbps、线路的下行速率≥200Mbps。</w:t>
      </w:r>
    </w:p>
    <w:p w14:paraId="2082C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（4）互联网专线提供公网IP地址≥2个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7C1D5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2.</w:t>
      </w:r>
      <w:r>
        <w:rPr>
          <w:rFonts w:hint="eastAsia" w:eastAsia="仿宋" w:cs="Times New Roman"/>
          <w:sz w:val="32"/>
          <w:szCs w:val="32"/>
          <w:lang w:val="en-US" w:eastAsia="zh-CN"/>
        </w:rPr>
        <w:t>线路质量：</w:t>
      </w:r>
    </w:p>
    <w:p w14:paraId="35E06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（1）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线路通路可用率平均达到</w:t>
      </w:r>
      <w:r>
        <w:rPr>
          <w:rFonts w:hint="eastAsia" w:eastAsia="仿宋" w:cs="Times New Roman"/>
          <w:sz w:val="32"/>
          <w:szCs w:val="32"/>
          <w:lang w:val="en-US" w:eastAsia="zh-CN"/>
        </w:rPr>
        <w:t>99.8%；</w:t>
      </w:r>
    </w:p>
    <w:p w14:paraId="20B5D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（2）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线路光衰≤</w:t>
      </w:r>
      <w:r>
        <w:rPr>
          <w:rFonts w:hint="eastAsia" w:eastAsia="仿宋" w:cs="Times New Roman"/>
          <w:sz w:val="32"/>
          <w:szCs w:val="32"/>
          <w:lang w:val="en-US" w:eastAsia="zh-CN"/>
        </w:rPr>
        <w:t>-15db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22325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（3）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接收光功率≤</w:t>
      </w:r>
      <w:r>
        <w:rPr>
          <w:rFonts w:hint="eastAsia" w:eastAsia="仿宋" w:cs="Times New Roman"/>
          <w:sz w:val="32"/>
          <w:szCs w:val="32"/>
          <w:lang w:val="en-US" w:eastAsia="zh-CN"/>
        </w:rPr>
        <w:t>-20db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52AD8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（4）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网络时延≤</w:t>
      </w:r>
      <w:r>
        <w:rPr>
          <w:rFonts w:hint="eastAsia" w:eastAsia="仿宋" w:cs="Times New Roman"/>
          <w:sz w:val="32"/>
          <w:szCs w:val="32"/>
          <w:lang w:val="en-US" w:eastAsia="zh-CN"/>
        </w:rPr>
        <w:t>6ms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内；</w:t>
      </w:r>
    </w:p>
    <w:p w14:paraId="26DB2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（5）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平均丢包率≤</w:t>
      </w:r>
      <w:r>
        <w:rPr>
          <w:rFonts w:hint="eastAsia" w:eastAsia="仿宋" w:cs="Times New Roman"/>
          <w:sz w:val="32"/>
          <w:szCs w:val="32"/>
          <w:lang w:val="en-US" w:eastAsia="zh-CN"/>
        </w:rPr>
        <w:t>0.03%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4D59C7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3.</w:t>
      </w:r>
      <w:r>
        <w:rPr>
          <w:rFonts w:hint="eastAsia" w:eastAsia="仿宋" w:cs="Times New Roman"/>
          <w:sz w:val="32"/>
          <w:szCs w:val="32"/>
          <w:lang w:val="en-US" w:eastAsia="zh-CN"/>
        </w:rPr>
        <w:t>售后服务：</w:t>
      </w:r>
    </w:p>
    <w:p w14:paraId="497F9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（1）</w:t>
      </w:r>
      <w:r>
        <w:rPr>
          <w:rFonts w:hint="eastAsia" w:ascii="仿宋" w:hAnsi="仿宋" w:eastAsia="仿宋" w:cs="仿宋"/>
          <w:sz w:val="32"/>
          <w:szCs w:val="32"/>
        </w:rPr>
        <w:t>供应商需要对网络链路的现有光缆、管道等设备进行日常维护及检修；</w:t>
      </w:r>
    </w:p>
    <w:p w14:paraId="6902B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（2）</w:t>
      </w:r>
      <w:r>
        <w:rPr>
          <w:rFonts w:hint="eastAsia" w:ascii="仿宋" w:hAnsi="仿宋" w:eastAsia="仿宋" w:cs="仿宋"/>
          <w:sz w:val="32"/>
          <w:szCs w:val="32"/>
        </w:rPr>
        <w:t>供应商应提供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7×24</w:t>
      </w:r>
      <w:r>
        <w:rPr>
          <w:rFonts w:hint="eastAsia" w:ascii="仿宋" w:hAnsi="仿宋" w:eastAsia="仿宋" w:cs="仿宋"/>
          <w:sz w:val="32"/>
          <w:szCs w:val="32"/>
        </w:rPr>
        <w:t>小时受理甲方故障申告的服务，如线路出现故障，在</w:t>
      </w:r>
      <w:r>
        <w:rPr>
          <w:rFonts w:hint="default"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小时内回复甲方故障原因及预计修复时间，提供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7×24</w:t>
      </w:r>
      <w:r>
        <w:rPr>
          <w:rFonts w:hint="eastAsia" w:ascii="仿宋" w:hAnsi="仿宋" w:eastAsia="仿宋" w:cs="仿宋"/>
          <w:sz w:val="32"/>
          <w:szCs w:val="32"/>
        </w:rPr>
        <w:t>小时客户响应电话。</w:t>
      </w:r>
    </w:p>
    <w:p w14:paraId="347B9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3" w:firstLineChars="200"/>
        <w:textAlignment w:val="auto"/>
        <w:rPr>
          <w:rFonts w:hint="default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三、调研参与要求</w:t>
      </w:r>
    </w:p>
    <w:p w14:paraId="2BD47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参与机构须为具有独立法人资格,具有基础电信业务、第一类增值电信业务、第二类增值电信业务资质，无重大违法违规记录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7166E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提交的调研资料须真实、准确、完整，报价需符合市场公允水平，严禁恶意低价或虚高报价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。</w:t>
      </w:r>
    </w:p>
    <w:p w14:paraId="24CFE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本次调研为预算编制的市场参考，不构成任何采购要约，我院不对参与机构作出任何承诺，调研资料仅用于预算编制分析，不对外公开。</w:t>
      </w:r>
    </w:p>
    <w:p w14:paraId="0888E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</w:p>
    <w:p w14:paraId="1CF30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</w:p>
    <w:p w14:paraId="63DDD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</w:p>
    <w:p w14:paraId="73584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65FA9"/>
    <w:rsid w:val="0C6F4277"/>
    <w:rsid w:val="126D6927"/>
    <w:rsid w:val="15803A8C"/>
    <w:rsid w:val="18C43019"/>
    <w:rsid w:val="1E5866DD"/>
    <w:rsid w:val="29F95A35"/>
    <w:rsid w:val="328E671A"/>
    <w:rsid w:val="437101AA"/>
    <w:rsid w:val="4BEF1B80"/>
    <w:rsid w:val="51840FBC"/>
    <w:rsid w:val="52410C5B"/>
    <w:rsid w:val="53BA1505"/>
    <w:rsid w:val="597E4543"/>
    <w:rsid w:val="66D25ECE"/>
    <w:rsid w:val="67E61C31"/>
    <w:rsid w:val="6C6770B8"/>
    <w:rsid w:val="716D5122"/>
    <w:rsid w:val="73E536E4"/>
    <w:rsid w:val="7752796E"/>
    <w:rsid w:val="7D66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280" w:after="280" w:line="560" w:lineRule="atLeast"/>
      <w:contextualSpacing/>
      <w:jc w:val="both"/>
    </w:pPr>
    <w:rPr>
      <w:rFonts w:ascii="Times New Roman" w:hAnsi="Times New Roman" w:eastAsia="宋体" w:cstheme="minorBidi"/>
      <w:kern w:val="2"/>
      <w:sz w:val="28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792</Words>
  <Characters>869</Characters>
  <Lines>0</Lines>
  <Paragraphs>0</Paragraphs>
  <TotalTime>1</TotalTime>
  <ScaleCrop>false</ScaleCrop>
  <LinksUpToDate>false</LinksUpToDate>
  <CharactersWithSpaces>869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2026-05-14T11:36:00Z</dcterms:created>
  <dc:creator>JIJUN</dc:creator>
  <cp:lastModifiedBy>友人君L</cp:lastModifiedBy>
  <dcterms:modified xsi:type="dcterms:W3CDTF">2026-07-20T09:01:20Z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eyJoZGlkIjoiNGY2ODMwY2M0ZjIxMDVkMjJiNDUxY2RmOTgyMDYxNzIiLCJ1c2VySWQiOiI1MjU0NjE5NzIifQ==</vt:lpwstr>
  </property>
  <property fmtid="{D5CDD505-2E9C-101B-9397-08002B2CF9AE}" pid="4" name="ICV">
    <vt:lpwstr>641ED435A3D6455198B174E6B0FD467C_12</vt:lpwstr>
  </property>
</Properties>
</file>