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410873">
      <w:pPr>
        <w:pStyle w:val="3"/>
        <w:bidi w:val="0"/>
        <w:jc w:val="center"/>
        <w:rPr>
          <w:rFonts w:hint="eastAsia"/>
          <w:lang w:val="en-US" w:eastAsia="zh-CN"/>
        </w:rPr>
      </w:pPr>
      <w:r>
        <w:rPr>
          <w:rFonts w:hint="eastAsia"/>
          <w:lang w:val="en-US" w:eastAsia="zh-CN"/>
        </w:rPr>
        <w:t>2026年三亚崖州湾科技城医院网络安全等级保护测评服务及商用密码应用安全性评估服务项目调研询价</w:t>
      </w:r>
      <w:bookmarkStart w:id="0" w:name="_GoBack"/>
      <w:bookmarkEnd w:id="0"/>
      <w:r>
        <w:rPr>
          <w:rFonts w:hint="eastAsia"/>
          <w:lang w:val="en-US" w:eastAsia="zh-CN"/>
        </w:rPr>
        <w:t>表</w:t>
      </w:r>
    </w:p>
    <w:tbl>
      <w:tblPr>
        <w:tblStyle w:val="7"/>
        <w:tblpPr w:leftFromText="180" w:rightFromText="180" w:vertAnchor="text" w:tblpY="1"/>
        <w:tblOverlap w:val="never"/>
        <w:tblW w:w="496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9"/>
        <w:gridCol w:w="1616"/>
        <w:gridCol w:w="3662"/>
        <w:gridCol w:w="987"/>
        <w:gridCol w:w="583"/>
        <w:gridCol w:w="1060"/>
      </w:tblGrid>
      <w:tr w14:paraId="24BF4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blHeader/>
        </w:trPr>
        <w:tc>
          <w:tcPr>
            <w:tcW w:w="567" w:type="dxa"/>
            <w:shd w:val="clear" w:color="000000" w:fill="D9D9D9"/>
            <w:vAlign w:val="center"/>
          </w:tcPr>
          <w:p w14:paraId="3FBEE571">
            <w:pPr>
              <w:jc w:val="center"/>
              <w:rPr>
                <w:rFonts w:hint="eastAsia" w:ascii="宋体" w:hAnsi="宋体" w:eastAsia="宋体" w:cs="宋体"/>
                <w:szCs w:val="22"/>
              </w:rPr>
            </w:pPr>
            <w:r>
              <w:rPr>
                <w:rFonts w:hint="eastAsia" w:ascii="宋体" w:hAnsi="宋体" w:eastAsia="宋体"/>
                <w:b/>
                <w:bCs/>
                <w:color w:val="000000"/>
                <w:szCs w:val="22"/>
              </w:rPr>
              <w:t>序号</w:t>
            </w:r>
          </w:p>
        </w:tc>
        <w:tc>
          <w:tcPr>
            <w:tcW w:w="1337" w:type="dxa"/>
            <w:shd w:val="clear" w:color="000000" w:fill="D9D9D9"/>
            <w:vAlign w:val="center"/>
          </w:tcPr>
          <w:p w14:paraId="1974E5F6">
            <w:pPr>
              <w:rPr>
                <w:rFonts w:hint="eastAsia" w:ascii="宋体" w:hAnsi="宋体" w:eastAsia="宋体" w:cs="宋体"/>
                <w:szCs w:val="22"/>
              </w:rPr>
            </w:pPr>
            <w:r>
              <w:rPr>
                <w:rFonts w:hint="eastAsia" w:ascii="宋体" w:hAnsi="宋体" w:eastAsia="宋体"/>
                <w:b/>
                <w:bCs/>
                <w:color w:val="000000"/>
                <w:szCs w:val="22"/>
              </w:rPr>
              <w:t>安全保护等级</w:t>
            </w:r>
          </w:p>
        </w:tc>
        <w:tc>
          <w:tcPr>
            <w:tcW w:w="3857" w:type="dxa"/>
            <w:shd w:val="clear" w:color="000000" w:fill="D9D9D9"/>
            <w:vAlign w:val="center"/>
          </w:tcPr>
          <w:p w14:paraId="34A6D3E7">
            <w:pPr>
              <w:jc w:val="center"/>
              <w:rPr>
                <w:rFonts w:hint="eastAsia" w:ascii="宋体" w:hAnsi="宋体" w:eastAsia="宋体" w:cs="宋体"/>
                <w:szCs w:val="22"/>
              </w:rPr>
            </w:pPr>
            <w:r>
              <w:rPr>
                <w:rFonts w:hint="eastAsia" w:ascii="宋体" w:hAnsi="宋体" w:eastAsia="宋体"/>
                <w:b/>
                <w:bCs/>
                <w:color w:val="000000"/>
                <w:szCs w:val="22"/>
              </w:rPr>
              <w:t>服务内容</w:t>
            </w:r>
          </w:p>
        </w:tc>
        <w:tc>
          <w:tcPr>
            <w:tcW w:w="1012" w:type="dxa"/>
            <w:shd w:val="clear" w:color="000000" w:fill="D9D9D9"/>
            <w:vAlign w:val="center"/>
          </w:tcPr>
          <w:p w14:paraId="7F1C0DF8">
            <w:pPr>
              <w:jc w:val="center"/>
              <w:rPr>
                <w:rFonts w:hint="eastAsia" w:ascii="宋体" w:hAnsi="宋体" w:eastAsia="宋体" w:cs="宋体"/>
                <w:szCs w:val="22"/>
              </w:rPr>
            </w:pPr>
            <w:r>
              <w:rPr>
                <w:rFonts w:hint="eastAsia" w:ascii="宋体" w:hAnsi="宋体" w:eastAsia="宋体"/>
                <w:b/>
                <w:bCs/>
                <w:color w:val="000000"/>
                <w:szCs w:val="22"/>
              </w:rPr>
              <w:t>服务成果</w:t>
            </w:r>
          </w:p>
        </w:tc>
        <w:tc>
          <w:tcPr>
            <w:tcW w:w="593" w:type="dxa"/>
            <w:shd w:val="clear" w:color="000000" w:fill="D9D9D9"/>
            <w:vAlign w:val="center"/>
          </w:tcPr>
          <w:p w14:paraId="7250E71D">
            <w:pPr>
              <w:jc w:val="center"/>
              <w:rPr>
                <w:rFonts w:hint="eastAsia" w:ascii="宋体" w:hAnsi="宋体" w:eastAsia="宋体" w:cs="宋体"/>
                <w:szCs w:val="22"/>
              </w:rPr>
            </w:pPr>
            <w:r>
              <w:rPr>
                <w:rFonts w:hint="eastAsia" w:ascii="宋体" w:hAnsi="宋体" w:eastAsia="宋体"/>
                <w:b/>
                <w:bCs/>
                <w:color w:val="000000"/>
                <w:szCs w:val="22"/>
              </w:rPr>
              <w:t>服务频率</w:t>
            </w:r>
          </w:p>
        </w:tc>
        <w:tc>
          <w:tcPr>
            <w:tcW w:w="877" w:type="dxa"/>
            <w:shd w:val="clear" w:color="000000" w:fill="D9D9D9"/>
          </w:tcPr>
          <w:p w14:paraId="589B07F5">
            <w:pPr>
              <w:jc w:val="center"/>
              <w:rPr>
                <w:rFonts w:hint="eastAsia" w:ascii="宋体" w:hAnsi="宋体" w:eastAsia="宋体"/>
                <w:b/>
                <w:bCs/>
                <w:color w:val="000000"/>
                <w:szCs w:val="22"/>
              </w:rPr>
            </w:pPr>
            <w:r>
              <w:rPr>
                <w:rFonts w:hint="eastAsia" w:ascii="宋体" w:hAnsi="宋体" w:eastAsia="宋体"/>
                <w:b/>
                <w:bCs/>
                <w:color w:val="000000"/>
                <w:szCs w:val="22"/>
              </w:rPr>
              <w:t>价格（元）</w:t>
            </w:r>
          </w:p>
        </w:tc>
      </w:tr>
      <w:tr w14:paraId="35667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567" w:type="dxa"/>
            <w:vAlign w:val="center"/>
          </w:tcPr>
          <w:p w14:paraId="58E6F7C9">
            <w:pPr>
              <w:jc w:val="center"/>
              <w:rPr>
                <w:rFonts w:hint="eastAsia" w:ascii="宋体" w:hAnsi="宋体" w:eastAsia="宋体" w:cs="宋体"/>
                <w:szCs w:val="22"/>
              </w:rPr>
            </w:pPr>
            <w:r>
              <w:rPr>
                <w:rFonts w:hint="eastAsia" w:ascii="宋体" w:hAnsi="宋体" w:eastAsia="宋体"/>
                <w:color w:val="000000"/>
                <w:szCs w:val="22"/>
              </w:rPr>
              <w:t>1</w:t>
            </w:r>
          </w:p>
        </w:tc>
        <w:tc>
          <w:tcPr>
            <w:tcW w:w="1337" w:type="dxa"/>
            <w:vAlign w:val="center"/>
          </w:tcPr>
          <w:p w14:paraId="2FBCBA14">
            <w:pPr>
              <w:rPr>
                <w:rFonts w:hint="eastAsia" w:ascii="宋体" w:hAnsi="宋体" w:eastAsia="宋体" w:cs="宋体"/>
                <w:szCs w:val="22"/>
              </w:rPr>
            </w:pPr>
            <w:r>
              <w:rPr>
                <w:rFonts w:hint="eastAsia" w:ascii="宋体" w:hAnsi="宋体" w:eastAsia="宋体"/>
                <w:szCs w:val="22"/>
              </w:rPr>
              <w:t>网络安全等级保护测评服务三级（S3A3G3）</w:t>
            </w:r>
          </w:p>
        </w:tc>
        <w:tc>
          <w:tcPr>
            <w:tcW w:w="3857" w:type="dxa"/>
            <w:vAlign w:val="center"/>
          </w:tcPr>
          <w:p w14:paraId="763B65DB">
            <w:pPr>
              <w:rPr>
                <w:rFonts w:hint="eastAsia" w:ascii="宋体" w:hAnsi="宋体" w:eastAsia="宋体" w:cs="宋体"/>
                <w:szCs w:val="22"/>
              </w:rPr>
            </w:pPr>
            <w:r>
              <w:rPr>
                <w:rFonts w:hint="eastAsia" w:ascii="宋体" w:hAnsi="宋体" w:eastAsia="宋体"/>
                <w:szCs w:val="22"/>
              </w:rPr>
              <w:t>1.依据《信息安全技术 网络安全等级保护 基本要求》（GB/T 22239-2019）、《信息安全技术 网络安全等级保护测评要求》（GB/T28448- 2019）、《信息安全技术 网络安全等级保护测评过程指南》（GB/T 28449-2018）等标准规范 （含行业标准），对单位信息系统的安全保护能力进行检测评估；</w:t>
            </w:r>
            <w:r>
              <w:rPr>
                <w:rFonts w:hint="eastAsia" w:ascii="宋体" w:hAnsi="宋体" w:eastAsia="宋体"/>
                <w:szCs w:val="22"/>
              </w:rPr>
              <w:br w:type="textWrapping"/>
            </w:r>
            <w:r>
              <w:rPr>
                <w:rFonts w:hint="eastAsia" w:ascii="宋体" w:hAnsi="宋体" w:eastAsia="宋体"/>
                <w:szCs w:val="22"/>
              </w:rPr>
              <w:t>2.测评内容包括安全物理环境、安全通信网络、安全区域边界、安全计算环境、安全管理中心、安全管理制度、安全管理机构、安全管理人员、安全建设管理、安全运维管理十个层面；</w:t>
            </w:r>
            <w:r>
              <w:rPr>
                <w:rFonts w:hint="eastAsia" w:ascii="宋体" w:hAnsi="宋体" w:eastAsia="宋体"/>
                <w:szCs w:val="22"/>
              </w:rPr>
              <w:br w:type="textWrapping"/>
            </w:r>
            <w:r>
              <w:rPr>
                <w:rFonts w:hint="eastAsia" w:ascii="宋体" w:hAnsi="宋体" w:eastAsia="宋体"/>
                <w:szCs w:val="22"/>
              </w:rPr>
              <w:t>3.等级测评完成后，出具《网络安全等级保护等级测评报告》，针对测评中发现的安全问题，提出整改建议。</w:t>
            </w:r>
          </w:p>
        </w:tc>
        <w:tc>
          <w:tcPr>
            <w:tcW w:w="1012" w:type="dxa"/>
            <w:vAlign w:val="center"/>
          </w:tcPr>
          <w:p w14:paraId="5FBF8588">
            <w:pPr>
              <w:jc w:val="center"/>
              <w:rPr>
                <w:rFonts w:hint="eastAsia" w:ascii="宋体" w:hAnsi="宋体" w:eastAsia="宋体" w:cs="宋体"/>
                <w:szCs w:val="22"/>
              </w:rPr>
            </w:pPr>
            <w:r>
              <w:rPr>
                <w:rFonts w:hint="eastAsia" w:ascii="宋体" w:hAnsi="宋体" w:eastAsia="宋体"/>
                <w:szCs w:val="22"/>
              </w:rPr>
              <w:t>《网络安全等级保护等级测评报告》</w:t>
            </w:r>
          </w:p>
        </w:tc>
        <w:tc>
          <w:tcPr>
            <w:tcW w:w="593" w:type="dxa"/>
            <w:vAlign w:val="center"/>
          </w:tcPr>
          <w:p w14:paraId="51729FBA">
            <w:pPr>
              <w:jc w:val="center"/>
              <w:rPr>
                <w:rFonts w:hint="eastAsia" w:ascii="宋体" w:hAnsi="宋体" w:eastAsia="宋体" w:cs="宋体"/>
                <w:szCs w:val="22"/>
              </w:rPr>
            </w:pPr>
            <w:r>
              <w:rPr>
                <w:rFonts w:ascii="宋体" w:hAnsi="宋体" w:eastAsia="宋体"/>
                <w:color w:val="000000"/>
                <w:szCs w:val="22"/>
              </w:rPr>
              <w:t>1次</w:t>
            </w:r>
          </w:p>
        </w:tc>
        <w:tc>
          <w:tcPr>
            <w:tcW w:w="877" w:type="dxa"/>
          </w:tcPr>
          <w:p w14:paraId="1AE72BCD">
            <w:pPr>
              <w:jc w:val="center"/>
              <w:rPr>
                <w:rFonts w:hint="eastAsia" w:ascii="宋体" w:hAnsi="宋体" w:eastAsia="宋体"/>
                <w:color w:val="000000"/>
                <w:szCs w:val="22"/>
              </w:rPr>
            </w:pPr>
          </w:p>
        </w:tc>
      </w:tr>
      <w:tr w14:paraId="70BB6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567" w:type="dxa"/>
            <w:vAlign w:val="center"/>
          </w:tcPr>
          <w:p w14:paraId="37D3B8E9">
            <w:pPr>
              <w:jc w:val="center"/>
              <w:rPr>
                <w:rFonts w:hint="eastAsia" w:ascii="宋体" w:hAnsi="宋体" w:eastAsia="宋体" w:cs="宋体"/>
                <w:szCs w:val="22"/>
              </w:rPr>
            </w:pPr>
            <w:r>
              <w:rPr>
                <w:rFonts w:hint="eastAsia" w:ascii="宋体" w:hAnsi="宋体" w:eastAsia="宋体"/>
                <w:color w:val="000000"/>
                <w:szCs w:val="22"/>
              </w:rPr>
              <w:t>2</w:t>
            </w:r>
          </w:p>
        </w:tc>
        <w:tc>
          <w:tcPr>
            <w:tcW w:w="1337" w:type="dxa"/>
            <w:vAlign w:val="center"/>
          </w:tcPr>
          <w:p w14:paraId="5069A58D">
            <w:pPr>
              <w:rPr>
                <w:rFonts w:hint="eastAsia" w:ascii="宋体" w:hAnsi="宋体" w:eastAsia="宋体" w:cs="宋体"/>
                <w:szCs w:val="22"/>
              </w:rPr>
            </w:pPr>
            <w:r>
              <w:rPr>
                <w:rFonts w:hint="eastAsia" w:ascii="宋体" w:hAnsi="宋体" w:eastAsia="宋体"/>
                <w:color w:val="000000"/>
                <w:szCs w:val="22"/>
              </w:rPr>
              <w:t>商用密码应用方案评估服务</w:t>
            </w:r>
          </w:p>
        </w:tc>
        <w:tc>
          <w:tcPr>
            <w:tcW w:w="3857" w:type="dxa"/>
            <w:vAlign w:val="center"/>
          </w:tcPr>
          <w:p w14:paraId="0000E313">
            <w:pPr>
              <w:rPr>
                <w:rFonts w:hint="eastAsia" w:ascii="宋体" w:hAnsi="宋体" w:eastAsia="宋体"/>
                <w:color w:val="000000"/>
                <w:szCs w:val="22"/>
              </w:rPr>
            </w:pPr>
            <w:r>
              <w:rPr>
                <w:rFonts w:hint="eastAsia" w:ascii="宋体" w:hAnsi="宋体" w:eastAsia="宋体"/>
                <w:color w:val="000000"/>
                <w:szCs w:val="22"/>
              </w:rPr>
              <w:t>商用密码应用方案评估服务 1.依据《信息安全技术 信息系统密码应用基本要求》（GB/T 39786-2021）、《信息安全技术 信息系统密码应用测评要求》（GB/T 43206-2023）、《信息安全技术 信息系统密码应用设计指南》（GB/T 43207-2023）等标准规范，针对被评估系统应用方案进行商用密码应用安全性评估服务；</w:t>
            </w:r>
          </w:p>
          <w:p w14:paraId="3D140301">
            <w:pPr>
              <w:rPr>
                <w:rFonts w:hint="eastAsia" w:ascii="宋体" w:hAnsi="宋体" w:eastAsia="宋体" w:cs="宋体"/>
                <w:szCs w:val="22"/>
              </w:rPr>
            </w:pPr>
            <w:r>
              <w:rPr>
                <w:rFonts w:hint="eastAsia" w:ascii="宋体" w:hAnsi="宋体" w:eastAsia="宋体"/>
                <w:color w:val="000000"/>
                <w:szCs w:val="22"/>
              </w:rPr>
              <w:t>2.评估范围包括网络与信息系统的物理和环境安全、网络和通信安全、设备和计算安全、应用和数据安全四个技术层面，以及管理制度、人员管理、建设运行和应急处置四个管理方面；</w:t>
            </w:r>
            <w:r>
              <w:rPr>
                <w:rFonts w:hint="eastAsia" w:ascii="宋体" w:hAnsi="宋体" w:eastAsia="宋体"/>
                <w:color w:val="000000"/>
                <w:szCs w:val="22"/>
              </w:rPr>
              <w:br w:type="textWrapping"/>
            </w:r>
            <w:r>
              <w:rPr>
                <w:rFonts w:hint="eastAsia" w:ascii="宋体" w:hAnsi="宋体" w:eastAsia="宋体"/>
                <w:color w:val="000000"/>
                <w:szCs w:val="22"/>
              </w:rPr>
              <w:t>3.评估完成后出具《&lt;系统密码应用方案&gt;商用密码应用安全性评估报告》，并结合实际提出改进建议。</w:t>
            </w:r>
          </w:p>
        </w:tc>
        <w:tc>
          <w:tcPr>
            <w:tcW w:w="1012" w:type="dxa"/>
            <w:vAlign w:val="center"/>
          </w:tcPr>
          <w:p w14:paraId="43C4128F">
            <w:pPr>
              <w:jc w:val="center"/>
              <w:rPr>
                <w:rFonts w:hint="eastAsia" w:ascii="宋体" w:hAnsi="宋体" w:eastAsia="宋体" w:cs="宋体"/>
                <w:szCs w:val="22"/>
              </w:rPr>
            </w:pPr>
            <w:r>
              <w:rPr>
                <w:rFonts w:hint="eastAsia" w:ascii="宋体" w:hAnsi="宋体" w:eastAsia="宋体"/>
                <w:color w:val="000000"/>
                <w:szCs w:val="22"/>
              </w:rPr>
              <w:t>《&lt;系统密码应用方案&gt;商用密码应用安全性评估报告》</w:t>
            </w:r>
          </w:p>
        </w:tc>
        <w:tc>
          <w:tcPr>
            <w:tcW w:w="593" w:type="dxa"/>
            <w:vAlign w:val="center"/>
          </w:tcPr>
          <w:p w14:paraId="5408CD5E">
            <w:pPr>
              <w:jc w:val="center"/>
              <w:rPr>
                <w:rFonts w:hint="eastAsia" w:ascii="宋体" w:hAnsi="宋体" w:eastAsia="宋体" w:cs="宋体"/>
                <w:szCs w:val="22"/>
              </w:rPr>
            </w:pPr>
            <w:r>
              <w:rPr>
                <w:rFonts w:ascii="宋体" w:hAnsi="宋体" w:eastAsia="宋体"/>
                <w:color w:val="000000"/>
                <w:szCs w:val="22"/>
              </w:rPr>
              <w:t>1次</w:t>
            </w:r>
          </w:p>
        </w:tc>
        <w:tc>
          <w:tcPr>
            <w:tcW w:w="877" w:type="dxa"/>
          </w:tcPr>
          <w:p w14:paraId="4D0FE751">
            <w:pPr>
              <w:jc w:val="center"/>
              <w:rPr>
                <w:rFonts w:hint="eastAsia" w:ascii="宋体" w:hAnsi="宋体" w:eastAsia="宋体"/>
                <w:color w:val="000000"/>
                <w:szCs w:val="22"/>
              </w:rPr>
            </w:pPr>
          </w:p>
        </w:tc>
      </w:tr>
      <w:tr w14:paraId="53986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567" w:type="dxa"/>
            <w:vAlign w:val="center"/>
          </w:tcPr>
          <w:p w14:paraId="611EFEED">
            <w:pPr>
              <w:jc w:val="center"/>
              <w:rPr>
                <w:rFonts w:hint="eastAsia" w:ascii="宋体" w:hAnsi="宋体" w:eastAsia="宋体" w:cs="宋体"/>
                <w:szCs w:val="22"/>
              </w:rPr>
            </w:pPr>
            <w:r>
              <w:rPr>
                <w:rFonts w:hint="eastAsia" w:ascii="宋体" w:hAnsi="宋体" w:eastAsia="宋体"/>
                <w:color w:val="000000"/>
                <w:szCs w:val="22"/>
              </w:rPr>
              <w:t>3</w:t>
            </w:r>
          </w:p>
        </w:tc>
        <w:tc>
          <w:tcPr>
            <w:tcW w:w="1337" w:type="dxa"/>
            <w:vAlign w:val="center"/>
          </w:tcPr>
          <w:p w14:paraId="7D26A8BB">
            <w:pPr>
              <w:rPr>
                <w:rFonts w:hint="eastAsia" w:ascii="宋体" w:hAnsi="宋体" w:eastAsia="宋体" w:cs="宋体"/>
                <w:szCs w:val="22"/>
              </w:rPr>
            </w:pPr>
            <w:r>
              <w:rPr>
                <w:rFonts w:hint="eastAsia" w:ascii="宋体" w:hAnsi="宋体" w:eastAsia="宋体"/>
                <w:color w:val="000000"/>
                <w:szCs w:val="22"/>
              </w:rPr>
              <w:t>商用密码应用安全性评估服务</w:t>
            </w:r>
          </w:p>
        </w:tc>
        <w:tc>
          <w:tcPr>
            <w:tcW w:w="3857" w:type="dxa"/>
            <w:vAlign w:val="center"/>
          </w:tcPr>
          <w:p w14:paraId="4F23F795">
            <w:pPr>
              <w:rPr>
                <w:rFonts w:hint="eastAsia" w:ascii="宋体" w:hAnsi="宋体" w:eastAsia="宋体" w:cs="宋体"/>
                <w:szCs w:val="22"/>
              </w:rPr>
            </w:pPr>
            <w:r>
              <w:rPr>
                <w:rFonts w:hint="eastAsia" w:ascii="宋体" w:hAnsi="宋体" w:eastAsia="宋体"/>
                <w:color w:val="000000"/>
                <w:szCs w:val="22"/>
              </w:rPr>
              <w:t>1.依据《信息安全技术 信息系统密码应用基本要求》（GB/T 39786-2021）等有关管理规范和技术标准，对网络与信息系统进行商用密码应用安全性评估；</w:t>
            </w:r>
            <w:r>
              <w:rPr>
                <w:rFonts w:hint="eastAsia" w:ascii="宋体" w:hAnsi="宋体" w:eastAsia="宋体"/>
                <w:color w:val="000000"/>
                <w:szCs w:val="22"/>
              </w:rPr>
              <w:br w:type="textWrapping"/>
            </w:r>
            <w:r>
              <w:rPr>
                <w:rFonts w:hint="eastAsia" w:ascii="宋体" w:hAnsi="宋体" w:eastAsia="宋体"/>
                <w:color w:val="000000"/>
                <w:szCs w:val="22"/>
              </w:rPr>
              <w:t>2.评估的内容包括物理和环境安全、网络和通信安全、设备和计算安全、应用和数据安全四个技术层面，以及管理制度、人员管理、建设运行和应急处置四个管理方面；</w:t>
            </w:r>
            <w:r>
              <w:rPr>
                <w:rFonts w:hint="eastAsia" w:ascii="宋体" w:hAnsi="宋体" w:eastAsia="宋体"/>
                <w:color w:val="000000"/>
                <w:szCs w:val="22"/>
              </w:rPr>
              <w:br w:type="textWrapping"/>
            </w:r>
            <w:r>
              <w:rPr>
                <w:rFonts w:hint="eastAsia" w:ascii="宋体" w:hAnsi="宋体" w:eastAsia="宋体"/>
                <w:color w:val="000000"/>
                <w:szCs w:val="22"/>
              </w:rPr>
              <w:t>3.完成评估工作后，出具《商用密码应用安全性评估报告》，并针对网络与信息系统商用密码应用提出具有针对性的整改建议。</w:t>
            </w:r>
          </w:p>
        </w:tc>
        <w:tc>
          <w:tcPr>
            <w:tcW w:w="1012" w:type="dxa"/>
            <w:vAlign w:val="center"/>
          </w:tcPr>
          <w:p w14:paraId="31DDED77">
            <w:pPr>
              <w:jc w:val="center"/>
              <w:rPr>
                <w:rFonts w:hint="eastAsia" w:ascii="宋体" w:hAnsi="宋体" w:eastAsia="宋体" w:cs="宋体"/>
                <w:szCs w:val="22"/>
              </w:rPr>
            </w:pPr>
            <w:r>
              <w:rPr>
                <w:rFonts w:hint="eastAsia" w:ascii="宋体" w:hAnsi="宋体" w:eastAsia="宋体"/>
                <w:color w:val="000000"/>
                <w:szCs w:val="22"/>
              </w:rPr>
              <w:t>《商用密码应用安全性评估报告》</w:t>
            </w:r>
          </w:p>
        </w:tc>
        <w:tc>
          <w:tcPr>
            <w:tcW w:w="593" w:type="dxa"/>
            <w:vAlign w:val="center"/>
          </w:tcPr>
          <w:p w14:paraId="29EBBC02">
            <w:pPr>
              <w:jc w:val="center"/>
              <w:rPr>
                <w:rFonts w:hint="eastAsia" w:ascii="宋体" w:hAnsi="宋体" w:eastAsia="宋体" w:cs="宋体"/>
                <w:szCs w:val="22"/>
              </w:rPr>
            </w:pPr>
            <w:r>
              <w:rPr>
                <w:rFonts w:hint="eastAsia" w:ascii="宋体" w:hAnsi="宋体" w:eastAsia="宋体"/>
                <w:color w:val="000000"/>
                <w:szCs w:val="22"/>
              </w:rPr>
              <w:t>1次</w:t>
            </w:r>
          </w:p>
        </w:tc>
        <w:tc>
          <w:tcPr>
            <w:tcW w:w="877" w:type="dxa"/>
          </w:tcPr>
          <w:p w14:paraId="41D71DD5">
            <w:pPr>
              <w:jc w:val="center"/>
              <w:rPr>
                <w:rFonts w:hint="eastAsia" w:ascii="宋体" w:hAnsi="宋体" w:eastAsia="宋体"/>
                <w:color w:val="000000"/>
                <w:szCs w:val="22"/>
              </w:rPr>
            </w:pPr>
          </w:p>
        </w:tc>
      </w:tr>
      <w:tr w14:paraId="320FC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567" w:type="dxa"/>
            <w:vAlign w:val="center"/>
          </w:tcPr>
          <w:p w14:paraId="1891180E">
            <w:pPr>
              <w:jc w:val="center"/>
              <w:rPr>
                <w:rFonts w:hint="eastAsia" w:ascii="宋体" w:hAnsi="宋体" w:eastAsia="宋体"/>
                <w:color w:val="000000"/>
                <w:szCs w:val="22"/>
              </w:rPr>
            </w:pPr>
            <w:r>
              <w:rPr>
                <w:rFonts w:hint="eastAsia" w:ascii="宋体" w:hAnsi="宋体" w:eastAsia="宋体"/>
                <w:color w:val="000000"/>
                <w:szCs w:val="22"/>
              </w:rPr>
              <w:t>4</w:t>
            </w:r>
          </w:p>
        </w:tc>
        <w:tc>
          <w:tcPr>
            <w:tcW w:w="7676" w:type="dxa"/>
            <w:gridSpan w:val="5"/>
            <w:vAlign w:val="center"/>
          </w:tcPr>
          <w:p w14:paraId="33F0A5A7">
            <w:pPr>
              <w:jc w:val="center"/>
              <w:rPr>
                <w:rFonts w:hint="eastAsia" w:ascii="宋体" w:hAnsi="宋体" w:eastAsia="宋体"/>
                <w:color w:val="000000"/>
                <w:szCs w:val="22"/>
              </w:rPr>
            </w:pPr>
            <w:r>
              <w:rPr>
                <w:rFonts w:hint="eastAsia" w:ascii="宋体" w:hAnsi="宋体" w:eastAsia="宋体"/>
                <w:color w:val="000000"/>
                <w:szCs w:val="22"/>
              </w:rPr>
              <w:t>合计：</w:t>
            </w:r>
          </w:p>
        </w:tc>
      </w:tr>
    </w:tbl>
    <w:p w14:paraId="3FA73D81">
      <w:pPr>
        <w:rPr>
          <w:rFonts w:hint="eastAsia" w:ascii="宋体" w:hAnsi="宋体" w:eastAsia="宋体"/>
          <w:szCs w:val="22"/>
        </w:rPr>
      </w:pPr>
    </w:p>
    <w:p w14:paraId="12F8D46E">
      <w:pPr>
        <w:tabs>
          <w:tab w:val="left" w:pos="5600"/>
        </w:tabs>
        <w:rPr>
          <w:rFonts w:hint="eastAsia" w:ascii="黑体" w:hAnsi="黑体" w:eastAsia="黑体" w:cs="黑体"/>
          <w:lang w:val="en-US" w:eastAsia="zh-CN"/>
        </w:rPr>
      </w:pPr>
      <w:r>
        <w:rPr>
          <w:rFonts w:hint="eastAsia" w:ascii="黑体" w:hAnsi="黑体" w:eastAsia="黑体" w:cs="黑体"/>
          <w:lang w:val="en-US" w:eastAsia="zh-CN"/>
        </w:rPr>
        <w:tab/>
      </w:r>
    </w:p>
    <w:p w14:paraId="6F1EB11D">
      <w:pPr>
        <w:tabs>
          <w:tab w:val="left" w:pos="5600"/>
        </w:tabs>
        <w:rPr>
          <w:rFonts w:hint="eastAsia" w:ascii="黑体" w:hAnsi="黑体" w:eastAsia="黑体" w:cs="黑体"/>
          <w:lang w:val="en-US" w:eastAsia="zh-CN"/>
        </w:rPr>
      </w:pPr>
      <w:r>
        <w:rPr>
          <w:rFonts w:hint="eastAsia" w:ascii="黑体" w:hAnsi="黑体" w:eastAsia="黑体" w:cs="黑体"/>
          <w:lang w:val="en-US" w:eastAsia="zh-CN"/>
        </w:rPr>
        <w:tab/>
      </w:r>
      <w:r>
        <w:rPr>
          <w:rFonts w:hint="eastAsia" w:ascii="黑体" w:hAnsi="黑体" w:eastAsia="黑体" w:cs="黑体"/>
          <w:lang w:val="en-US" w:eastAsia="zh-CN"/>
        </w:rPr>
        <w:t>报价单位：</w:t>
      </w:r>
    </w:p>
    <w:p w14:paraId="4F2B1AD1">
      <w:pPr>
        <w:tabs>
          <w:tab w:val="left" w:pos="5600"/>
        </w:tabs>
        <w:rPr>
          <w:rFonts w:hint="eastAsia" w:ascii="黑体" w:hAnsi="黑体" w:eastAsia="黑体" w:cs="黑体"/>
          <w:lang w:val="en-US" w:eastAsia="zh-CN"/>
        </w:rPr>
      </w:pPr>
      <w:r>
        <w:rPr>
          <w:rFonts w:hint="eastAsia" w:ascii="黑体" w:hAnsi="黑体" w:eastAsia="黑体" w:cs="黑体"/>
          <w:lang w:val="en-US" w:eastAsia="zh-CN"/>
        </w:rPr>
        <w:tab/>
      </w:r>
      <w:r>
        <w:rPr>
          <w:rFonts w:hint="eastAsia" w:ascii="黑体" w:hAnsi="黑体" w:eastAsia="黑体" w:cs="黑体"/>
          <w:lang w:val="en-US" w:eastAsia="zh-CN"/>
        </w:rPr>
        <w:t>联系人：</w:t>
      </w:r>
    </w:p>
    <w:p w14:paraId="7B77A25B">
      <w:pPr>
        <w:tabs>
          <w:tab w:val="left" w:pos="5600"/>
        </w:tabs>
        <w:rPr>
          <w:rFonts w:hint="eastAsia" w:ascii="黑体" w:hAnsi="黑体" w:eastAsia="黑体" w:cs="黑体"/>
          <w:lang w:val="en-US" w:eastAsia="zh-CN"/>
        </w:rPr>
      </w:pPr>
      <w:r>
        <w:rPr>
          <w:rFonts w:hint="eastAsia" w:ascii="黑体" w:hAnsi="黑体" w:eastAsia="黑体" w:cs="黑体"/>
          <w:lang w:val="en-US" w:eastAsia="zh-CN"/>
        </w:rPr>
        <w:tab/>
      </w:r>
      <w:r>
        <w:rPr>
          <w:rFonts w:hint="eastAsia" w:ascii="黑体" w:hAnsi="黑体" w:eastAsia="黑体" w:cs="黑体"/>
          <w:lang w:val="en-US" w:eastAsia="zh-CN"/>
        </w:rPr>
        <w:t>电话：</w:t>
      </w:r>
    </w:p>
    <w:p w14:paraId="444C6A33">
      <w:pPr>
        <w:tabs>
          <w:tab w:val="left" w:pos="5600"/>
        </w:tabs>
        <w:rPr>
          <w:rFonts w:hint="default"/>
          <w:lang w:val="en-US" w:eastAsia="zh-CN"/>
        </w:rPr>
      </w:pPr>
      <w:r>
        <w:rPr>
          <w:rFonts w:hint="eastAsia" w:ascii="黑体" w:hAnsi="黑体" w:eastAsia="黑体" w:cs="黑体"/>
          <w:lang w:val="en-US" w:eastAsia="zh-CN"/>
        </w:rPr>
        <w:tab/>
      </w:r>
      <w:r>
        <w:rPr>
          <w:rFonts w:hint="eastAsia" w:ascii="黑体" w:hAnsi="黑体" w:eastAsia="黑体" w:cs="黑体"/>
          <w:lang w:val="en-US" w:eastAsia="zh-CN"/>
        </w:rPr>
        <w:t>报价日期：</w:t>
      </w: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38685">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83C381">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083C381">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C95492"/>
    <w:rsid w:val="131E5347"/>
    <w:rsid w:val="38740160"/>
    <w:rsid w:val="3DAF4485"/>
    <w:rsid w:val="3F4343E8"/>
    <w:rsid w:val="4CFB6302"/>
    <w:rsid w:val="58F2253F"/>
    <w:rsid w:val="5980650D"/>
    <w:rsid w:val="598B2597"/>
    <w:rsid w:val="5D137698"/>
    <w:rsid w:val="63970658"/>
    <w:rsid w:val="775E5C88"/>
    <w:rsid w:val="7DFA5F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280" w:after="280" w:line="560" w:lineRule="atLeast"/>
      <w:contextualSpacing/>
      <w:jc w:val="both"/>
    </w:pPr>
    <w:rPr>
      <w:rFonts w:ascii="Times New Roman" w:hAnsi="Times New Roman" w:eastAsia="宋体" w:cstheme="minorBidi"/>
      <w:kern w:val="2"/>
      <w:sz w:val="28"/>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153</Words>
  <Characters>158</Characters>
  <Lines>0</Lines>
  <Paragraphs>0</Paragraphs>
  <TotalTime>1</TotalTime>
  <ScaleCrop>false</ScaleCrop>
  <LinksUpToDate>false</LinksUpToDate>
  <CharactersWithSpaces>163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2026-05-18T04:00:00Z</dcterms:created>
  <dc:creator>JIJUN</dc:creator>
  <cp:lastModifiedBy>友人君L</cp:lastModifiedBy>
  <dcterms:modified xsi:type="dcterms:W3CDTF">2026-06-16T02:13:19Z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eyJoZGlkIjoiNGY2ODMwY2M0ZjIxMDVkMjJiNDUxY2RmOTgyMDYxNzIiLCJ1c2VySWQiOiI1MjU0NjE5NzIifQ==</vt:lpwstr>
  </property>
  <property fmtid="{D5CDD505-2E9C-101B-9397-08002B2CF9AE}" pid="4" name="ICV">
    <vt:lpwstr>2EB600B097684158ACAC3185B517A156_12</vt:lpwstr>
  </property>
</Properties>
</file>